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DB" w:rsidRDefault="006F1951" w:rsidP="0000063A">
      <w:pPr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Lockheed Martin Johnstown</w:t>
      </w:r>
      <w:r w:rsidR="0000063A" w:rsidRPr="0000063A">
        <w:rPr>
          <w:rFonts w:ascii="Cambria" w:hAnsi="Cambria"/>
          <w:b/>
          <w:sz w:val="28"/>
          <w:szCs w:val="24"/>
        </w:rPr>
        <w:t xml:space="preserve"> </w:t>
      </w:r>
      <w:r w:rsidR="00BD17DB">
        <w:rPr>
          <w:rFonts w:ascii="Cambria" w:hAnsi="Cambria"/>
          <w:b/>
          <w:sz w:val="28"/>
          <w:szCs w:val="24"/>
        </w:rPr>
        <w:t>LBAFO</w:t>
      </w:r>
      <w:r w:rsidR="0000063A" w:rsidRPr="0000063A">
        <w:rPr>
          <w:rFonts w:ascii="Cambria" w:hAnsi="Cambria"/>
          <w:b/>
          <w:sz w:val="28"/>
          <w:szCs w:val="24"/>
        </w:rPr>
        <w:t xml:space="preserve"> </w:t>
      </w:r>
    </w:p>
    <w:p w:rsidR="00E55D46" w:rsidRDefault="00BD17DB" w:rsidP="0000063A">
      <w:pPr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Summary of </w:t>
      </w:r>
      <w:r w:rsidR="00B01D49">
        <w:rPr>
          <w:rFonts w:ascii="Cambria" w:hAnsi="Cambria"/>
          <w:b/>
          <w:sz w:val="28"/>
          <w:szCs w:val="24"/>
        </w:rPr>
        <w:t xml:space="preserve">Economic </w:t>
      </w:r>
      <w:r w:rsidR="00A819A8">
        <w:rPr>
          <w:rFonts w:ascii="Cambria" w:hAnsi="Cambria"/>
          <w:b/>
          <w:sz w:val="28"/>
          <w:szCs w:val="24"/>
        </w:rPr>
        <w:t>Improvements</w:t>
      </w:r>
    </w:p>
    <w:p w:rsidR="00013890" w:rsidRPr="0000063A" w:rsidRDefault="006F1951" w:rsidP="0000063A">
      <w:pPr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September</w:t>
      </w:r>
      <w:r w:rsidR="00013890">
        <w:rPr>
          <w:rFonts w:ascii="Cambria" w:hAnsi="Cambria"/>
          <w:b/>
          <w:sz w:val="28"/>
          <w:szCs w:val="24"/>
        </w:rPr>
        <w:t xml:space="preserve"> 2023</w:t>
      </w:r>
    </w:p>
    <w:p w:rsidR="0000063A" w:rsidRDefault="0000063A">
      <w:pPr>
        <w:rPr>
          <w:rFonts w:ascii="Cambria" w:hAnsi="Cambria"/>
          <w:sz w:val="24"/>
          <w:szCs w:val="24"/>
        </w:rPr>
      </w:pPr>
    </w:p>
    <w:p w:rsidR="006F1951" w:rsidRPr="007C192B" w:rsidRDefault="006F1951" w:rsidP="006F1951">
      <w:pPr>
        <w:rPr>
          <w:rFonts w:ascii="Cambria" w:hAnsi="Cambria"/>
          <w:b/>
          <w:sz w:val="28"/>
          <w:szCs w:val="24"/>
        </w:rPr>
      </w:pPr>
      <w:r w:rsidRPr="007C192B">
        <w:rPr>
          <w:rFonts w:ascii="Cambria" w:hAnsi="Cambria"/>
          <w:b/>
          <w:sz w:val="28"/>
          <w:szCs w:val="24"/>
        </w:rPr>
        <w:t>Wage Increases:</w:t>
      </w:r>
    </w:p>
    <w:p w:rsidR="00166635" w:rsidRPr="00166635" w:rsidRDefault="006F1951" w:rsidP="00B2648C">
      <w:pPr>
        <w:pStyle w:val="ListParagraph"/>
        <w:numPr>
          <w:ilvl w:val="0"/>
          <w:numId w:val="5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166635">
        <w:rPr>
          <w:rFonts w:ascii="Cambria" w:hAnsi="Cambria"/>
          <w:sz w:val="24"/>
          <w:szCs w:val="24"/>
        </w:rPr>
        <w:t xml:space="preserve">All employees will receive a </w:t>
      </w:r>
      <w:r w:rsidRPr="00166635">
        <w:rPr>
          <w:rFonts w:ascii="Cambria" w:hAnsi="Cambria"/>
          <w:b/>
          <w:sz w:val="24"/>
          <w:szCs w:val="24"/>
        </w:rPr>
        <w:t>$1.00 equity adjustment</w:t>
      </w:r>
      <w:r w:rsidRPr="00166635">
        <w:rPr>
          <w:rFonts w:ascii="Cambria" w:hAnsi="Cambria"/>
          <w:sz w:val="24"/>
          <w:szCs w:val="24"/>
        </w:rPr>
        <w:t xml:space="preserve"> in pay</w:t>
      </w:r>
      <w:r w:rsidR="00C74CB9">
        <w:rPr>
          <w:rFonts w:ascii="Cambria" w:hAnsi="Cambria"/>
          <w:sz w:val="24"/>
          <w:szCs w:val="24"/>
        </w:rPr>
        <w:t xml:space="preserve">, </w:t>
      </w:r>
      <w:r w:rsidR="00C74CB9" w:rsidRPr="00C74CB9">
        <w:rPr>
          <w:rFonts w:ascii="Cambria" w:hAnsi="Cambria"/>
          <w:b/>
          <w:sz w:val="24"/>
          <w:szCs w:val="24"/>
        </w:rPr>
        <w:t>plus an initial GWI of 4.0%</w:t>
      </w:r>
      <w:r w:rsidRPr="00C74CB9">
        <w:rPr>
          <w:rFonts w:ascii="Cambria" w:hAnsi="Cambria"/>
          <w:b/>
          <w:sz w:val="24"/>
          <w:szCs w:val="24"/>
        </w:rPr>
        <w:t xml:space="preserve"> </w:t>
      </w:r>
      <w:r w:rsidRPr="00166635">
        <w:rPr>
          <w:rFonts w:ascii="Cambria" w:hAnsi="Cambria"/>
          <w:sz w:val="24"/>
          <w:szCs w:val="24"/>
        </w:rPr>
        <w:t>at the start of the contract</w:t>
      </w:r>
      <w:r w:rsidR="003E058A" w:rsidRPr="00166635">
        <w:rPr>
          <w:rFonts w:ascii="Cambria" w:hAnsi="Cambria"/>
          <w:sz w:val="24"/>
          <w:szCs w:val="24"/>
        </w:rPr>
        <w:t>.</w:t>
      </w:r>
      <w:r w:rsidR="00166635" w:rsidRPr="00166635">
        <w:rPr>
          <w:rFonts w:ascii="Cambria" w:hAnsi="Cambria"/>
          <w:sz w:val="24"/>
          <w:szCs w:val="24"/>
        </w:rPr>
        <w:t xml:space="preserve"> </w:t>
      </w:r>
      <w:r w:rsidRPr="00166635">
        <w:rPr>
          <w:rFonts w:ascii="Cambria" w:hAnsi="Cambria"/>
          <w:sz w:val="24"/>
          <w:szCs w:val="24"/>
        </w:rPr>
        <w:t xml:space="preserve">GWIs will be </w:t>
      </w:r>
      <w:r w:rsidRPr="00166635">
        <w:rPr>
          <w:rFonts w:ascii="Cambria" w:hAnsi="Cambria"/>
          <w:b/>
          <w:sz w:val="24"/>
          <w:szCs w:val="24"/>
        </w:rPr>
        <w:t>4.0% in 2024, 3.0% in 2025, and 3.0% in 2026.</w:t>
      </w:r>
    </w:p>
    <w:p w:rsidR="00166635" w:rsidRDefault="00166635" w:rsidP="00B2648C">
      <w:pPr>
        <w:pStyle w:val="ListParagraph"/>
        <w:numPr>
          <w:ilvl w:val="0"/>
          <w:numId w:val="5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C74CB9">
        <w:rPr>
          <w:rFonts w:ascii="Cambria" w:hAnsi="Cambria"/>
          <w:b/>
          <w:sz w:val="24"/>
          <w:szCs w:val="24"/>
        </w:rPr>
        <w:t xml:space="preserve">The total </w:t>
      </w:r>
      <w:r w:rsidR="007A5D63">
        <w:rPr>
          <w:rFonts w:ascii="Cambria" w:hAnsi="Cambria"/>
          <w:b/>
          <w:sz w:val="24"/>
          <w:szCs w:val="24"/>
        </w:rPr>
        <w:t>immediate increase</w:t>
      </w:r>
      <w:r w:rsidRPr="00166635">
        <w:rPr>
          <w:rFonts w:ascii="Cambria" w:hAnsi="Cambria"/>
          <w:sz w:val="24"/>
          <w:szCs w:val="24"/>
        </w:rPr>
        <w:t xml:space="preserve"> (equity plus GWI) will be</w:t>
      </w:r>
      <w:r w:rsidRPr="00166635">
        <w:rPr>
          <w:rFonts w:ascii="Cambria" w:hAnsi="Cambria"/>
          <w:b/>
          <w:sz w:val="24"/>
          <w:szCs w:val="24"/>
        </w:rPr>
        <w:t xml:space="preserve"> 8.3% </w:t>
      </w:r>
      <w:r w:rsidRPr="00166635">
        <w:rPr>
          <w:rFonts w:ascii="Cambria" w:hAnsi="Cambria"/>
          <w:sz w:val="24"/>
          <w:szCs w:val="24"/>
        </w:rPr>
        <w:t>for the average employee.</w:t>
      </w:r>
      <w:r w:rsidR="007A5D63">
        <w:rPr>
          <w:rFonts w:ascii="Cambria" w:hAnsi="Cambria"/>
          <w:sz w:val="24"/>
          <w:szCs w:val="24"/>
        </w:rPr>
        <w:t xml:space="preserve"> Including the </w:t>
      </w:r>
      <w:r w:rsidR="007A5D63" w:rsidRPr="007A5D63">
        <w:rPr>
          <w:rFonts w:ascii="Cambria" w:hAnsi="Cambria"/>
          <w:sz w:val="24"/>
          <w:szCs w:val="24"/>
        </w:rPr>
        <w:t xml:space="preserve">Automatic Rate </w:t>
      </w:r>
      <w:r w:rsidR="003F2AD0">
        <w:rPr>
          <w:rFonts w:ascii="Cambria" w:hAnsi="Cambria"/>
          <w:sz w:val="24"/>
          <w:szCs w:val="24"/>
        </w:rPr>
        <w:t>Progression</w:t>
      </w:r>
      <w:r w:rsidR="007A5D63">
        <w:rPr>
          <w:rFonts w:ascii="Cambria" w:hAnsi="Cambria"/>
          <w:sz w:val="24"/>
          <w:szCs w:val="24"/>
        </w:rPr>
        <w:t xml:space="preserve"> (ARP)</w:t>
      </w:r>
      <w:r w:rsidR="007A5D63">
        <w:rPr>
          <w:rFonts w:ascii="Cambria" w:hAnsi="Cambria"/>
          <w:sz w:val="24"/>
          <w:szCs w:val="24"/>
        </w:rPr>
        <w:t xml:space="preserve">, by the end of the first year, the increase is </w:t>
      </w:r>
      <w:r w:rsidR="007A5D63" w:rsidRPr="007A5D63">
        <w:rPr>
          <w:rFonts w:ascii="Cambria" w:hAnsi="Cambria"/>
          <w:b/>
          <w:sz w:val="24"/>
          <w:szCs w:val="24"/>
        </w:rPr>
        <w:t>11.</w:t>
      </w:r>
      <w:r w:rsidR="007041A5">
        <w:rPr>
          <w:rFonts w:ascii="Cambria" w:hAnsi="Cambria"/>
          <w:b/>
          <w:sz w:val="24"/>
          <w:szCs w:val="24"/>
        </w:rPr>
        <w:t>5</w:t>
      </w:r>
      <w:r w:rsidR="007A5D63">
        <w:rPr>
          <w:rFonts w:ascii="Cambria" w:hAnsi="Cambria"/>
          <w:sz w:val="24"/>
          <w:szCs w:val="24"/>
        </w:rPr>
        <w:t>%.</w:t>
      </w:r>
    </w:p>
    <w:p w:rsidR="00166635" w:rsidRPr="00166635" w:rsidRDefault="00166635" w:rsidP="00B2648C">
      <w:pPr>
        <w:pStyle w:val="ListParagraph"/>
        <w:numPr>
          <w:ilvl w:val="0"/>
          <w:numId w:val="5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Over the life of the contract, the average wage will increase by </w:t>
      </w:r>
      <w:r>
        <w:rPr>
          <w:rFonts w:ascii="Cambria" w:hAnsi="Cambria"/>
          <w:b/>
          <w:sz w:val="24"/>
          <w:szCs w:val="24"/>
        </w:rPr>
        <w:t>19.5</w:t>
      </w:r>
      <w:r w:rsidRPr="002902FF">
        <w:rPr>
          <w:rFonts w:ascii="Cambria" w:hAnsi="Cambria"/>
          <w:b/>
          <w:sz w:val="24"/>
          <w:szCs w:val="24"/>
        </w:rPr>
        <w:t>%</w:t>
      </w:r>
      <w:r>
        <w:rPr>
          <w:rFonts w:ascii="Cambria" w:hAnsi="Cambria"/>
          <w:sz w:val="24"/>
          <w:szCs w:val="24"/>
        </w:rPr>
        <w:t>—from $</w:t>
      </w:r>
      <w:r>
        <w:rPr>
          <w:rFonts w:ascii="Cambria" w:hAnsi="Cambria"/>
          <w:b/>
          <w:sz w:val="24"/>
          <w:szCs w:val="24"/>
        </w:rPr>
        <w:t>24.34</w:t>
      </w:r>
      <w:r w:rsidRPr="002902FF">
        <w:rPr>
          <w:rFonts w:ascii="Cambria" w:hAnsi="Cambria"/>
          <w:b/>
          <w:sz w:val="24"/>
          <w:szCs w:val="24"/>
        </w:rPr>
        <w:t xml:space="preserve"> per hour to $</w:t>
      </w:r>
      <w:r>
        <w:rPr>
          <w:rFonts w:ascii="Cambria" w:hAnsi="Cambria"/>
          <w:b/>
          <w:sz w:val="24"/>
          <w:szCs w:val="24"/>
        </w:rPr>
        <w:t>29.08</w:t>
      </w:r>
      <w:r w:rsidRPr="002902FF">
        <w:rPr>
          <w:rFonts w:ascii="Cambria" w:hAnsi="Cambria"/>
          <w:b/>
          <w:sz w:val="24"/>
          <w:szCs w:val="24"/>
        </w:rPr>
        <w:t xml:space="preserve"> per hour</w:t>
      </w:r>
      <w:r>
        <w:rPr>
          <w:rFonts w:ascii="Cambria" w:hAnsi="Cambria"/>
          <w:sz w:val="24"/>
          <w:szCs w:val="24"/>
        </w:rPr>
        <w:t>. Those in progression will see even larger increases.</w:t>
      </w:r>
    </w:p>
    <w:p w:rsidR="006F1951" w:rsidRDefault="0010269F" w:rsidP="00B2648C">
      <w:pPr>
        <w:pStyle w:val="ListParagraph"/>
        <w:numPr>
          <w:ilvl w:val="0"/>
          <w:numId w:val="5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one-time equity adjustment, and all</w:t>
      </w:r>
      <w:r w:rsidR="006F1951" w:rsidRPr="0081278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GWIs each year, will be added</w:t>
      </w:r>
      <w:r w:rsidR="006F1951" w:rsidRPr="00812784">
        <w:rPr>
          <w:rFonts w:ascii="Cambria" w:hAnsi="Cambria"/>
          <w:sz w:val="24"/>
          <w:szCs w:val="24"/>
        </w:rPr>
        <w:t xml:space="preserve"> to the minimum and maximum rates.</w:t>
      </w:r>
      <w:r w:rsidR="006F1951">
        <w:rPr>
          <w:rFonts w:ascii="Cambria" w:hAnsi="Cambria"/>
          <w:sz w:val="24"/>
          <w:szCs w:val="24"/>
        </w:rPr>
        <w:t xml:space="preserve"> The minimum rate will </w:t>
      </w:r>
      <w:r w:rsidR="006F1951" w:rsidRPr="00AA05BB">
        <w:rPr>
          <w:rFonts w:ascii="Cambria" w:hAnsi="Cambria"/>
          <w:b/>
          <w:sz w:val="24"/>
          <w:szCs w:val="24"/>
        </w:rPr>
        <w:t>not be below $1</w:t>
      </w:r>
      <w:r w:rsidR="00616791" w:rsidRPr="00AA05BB">
        <w:rPr>
          <w:rFonts w:ascii="Cambria" w:hAnsi="Cambria"/>
          <w:b/>
          <w:sz w:val="24"/>
          <w:szCs w:val="24"/>
        </w:rPr>
        <w:t>6</w:t>
      </w:r>
      <w:r w:rsidR="006F1951" w:rsidRPr="00AA05BB">
        <w:rPr>
          <w:rFonts w:ascii="Cambria" w:hAnsi="Cambria"/>
          <w:b/>
          <w:sz w:val="24"/>
          <w:szCs w:val="24"/>
        </w:rPr>
        <w:t xml:space="preserve"> per hour</w:t>
      </w:r>
      <w:r w:rsidR="006F1951">
        <w:rPr>
          <w:rFonts w:ascii="Cambria" w:hAnsi="Cambria"/>
          <w:sz w:val="24"/>
          <w:szCs w:val="24"/>
        </w:rPr>
        <w:t>.</w:t>
      </w:r>
      <w:r w:rsidR="00633305">
        <w:rPr>
          <w:rFonts w:ascii="Cambria" w:hAnsi="Cambria"/>
          <w:sz w:val="24"/>
          <w:szCs w:val="24"/>
        </w:rPr>
        <w:t xml:space="preserve"> (See chart below.)</w:t>
      </w:r>
    </w:p>
    <w:p w:rsidR="006F1951" w:rsidRPr="00812784" w:rsidRDefault="006F1951" w:rsidP="00B2648C">
      <w:pPr>
        <w:pStyle w:val="ListParagraph"/>
        <w:numPr>
          <w:ilvl w:val="0"/>
          <w:numId w:val="5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Pr="006F1951">
        <w:rPr>
          <w:rFonts w:ascii="Cambria" w:hAnsi="Cambria"/>
          <w:b/>
          <w:sz w:val="24"/>
          <w:szCs w:val="24"/>
        </w:rPr>
        <w:t xml:space="preserve">$0.20 </w:t>
      </w:r>
      <w:r w:rsidR="0005415B" w:rsidRPr="007A5D63">
        <w:rPr>
          <w:rFonts w:ascii="Cambria" w:hAnsi="Cambria"/>
          <w:b/>
          <w:sz w:val="24"/>
          <w:szCs w:val="24"/>
        </w:rPr>
        <w:t xml:space="preserve">ARP </w:t>
      </w:r>
      <w:r>
        <w:rPr>
          <w:rFonts w:ascii="Cambria" w:hAnsi="Cambria"/>
          <w:sz w:val="24"/>
          <w:szCs w:val="24"/>
        </w:rPr>
        <w:t xml:space="preserve">will be given </w:t>
      </w:r>
      <w:r w:rsidRPr="006F1951">
        <w:rPr>
          <w:rFonts w:ascii="Cambria" w:hAnsi="Cambria"/>
          <w:b/>
          <w:sz w:val="24"/>
          <w:szCs w:val="24"/>
        </w:rPr>
        <w:t>four times per year</w:t>
      </w:r>
      <w:r>
        <w:rPr>
          <w:rFonts w:ascii="Cambria" w:hAnsi="Cambria"/>
          <w:sz w:val="24"/>
          <w:szCs w:val="24"/>
        </w:rPr>
        <w:t>, instead of three—an improvement of 33%.</w:t>
      </w:r>
    </w:p>
    <w:p w:rsidR="009D0697" w:rsidRPr="009D0697" w:rsidRDefault="009D0697" w:rsidP="00B2648C">
      <w:pPr>
        <w:rPr>
          <w:rFonts w:ascii="Cambria" w:hAnsi="Cambria"/>
          <w:sz w:val="24"/>
          <w:szCs w:val="24"/>
        </w:rPr>
      </w:pPr>
    </w:p>
    <w:p w:rsidR="006F1951" w:rsidRPr="007C192B" w:rsidRDefault="006F1951" w:rsidP="006F1951">
      <w:pPr>
        <w:rPr>
          <w:rFonts w:ascii="Cambria" w:hAnsi="Cambria"/>
          <w:b/>
          <w:sz w:val="28"/>
          <w:szCs w:val="24"/>
        </w:rPr>
      </w:pPr>
      <w:r w:rsidRPr="007C192B">
        <w:rPr>
          <w:rFonts w:ascii="Cambria" w:hAnsi="Cambria"/>
          <w:b/>
          <w:sz w:val="28"/>
          <w:szCs w:val="24"/>
        </w:rPr>
        <w:t>Improvements to Differential Pay:</w:t>
      </w:r>
    </w:p>
    <w:p w:rsidR="006F1951" w:rsidRDefault="006F1951" w:rsidP="00B2648C">
      <w:pPr>
        <w:pStyle w:val="ListParagraph"/>
        <w:numPr>
          <w:ilvl w:val="0"/>
          <w:numId w:val="1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Leads will </w:t>
      </w:r>
      <w:r w:rsidR="00BA5788">
        <w:rPr>
          <w:rFonts w:ascii="Cambria" w:hAnsi="Cambria"/>
          <w:sz w:val="24"/>
          <w:szCs w:val="24"/>
        </w:rPr>
        <w:t>increase to</w:t>
      </w:r>
      <w:r>
        <w:rPr>
          <w:rFonts w:ascii="Cambria" w:hAnsi="Cambria"/>
          <w:sz w:val="24"/>
          <w:szCs w:val="24"/>
        </w:rPr>
        <w:t xml:space="preserve"> </w:t>
      </w:r>
      <w:r w:rsidRPr="00BA5788">
        <w:rPr>
          <w:rFonts w:ascii="Cambria" w:hAnsi="Cambria"/>
          <w:b/>
          <w:sz w:val="24"/>
          <w:szCs w:val="24"/>
        </w:rPr>
        <w:t>$1.00 per hour</w:t>
      </w:r>
      <w:r>
        <w:rPr>
          <w:rFonts w:ascii="Cambria" w:hAnsi="Cambria"/>
          <w:sz w:val="24"/>
          <w:szCs w:val="24"/>
        </w:rPr>
        <w:t xml:space="preserve"> ($0.25 increase).</w:t>
      </w:r>
    </w:p>
    <w:p w:rsidR="006F1951" w:rsidRDefault="006F1951" w:rsidP="00B2648C">
      <w:pPr>
        <w:pStyle w:val="ListParagraph"/>
        <w:numPr>
          <w:ilvl w:val="0"/>
          <w:numId w:val="1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Shift differential will increase to </w:t>
      </w:r>
      <w:r w:rsidRPr="00BA5788">
        <w:rPr>
          <w:rFonts w:ascii="Cambria" w:hAnsi="Cambria"/>
          <w:b/>
          <w:sz w:val="24"/>
          <w:szCs w:val="24"/>
        </w:rPr>
        <w:t>$1.00 per hour</w:t>
      </w:r>
      <w:r>
        <w:rPr>
          <w:rFonts w:ascii="Cambria" w:hAnsi="Cambria"/>
          <w:sz w:val="24"/>
          <w:szCs w:val="24"/>
        </w:rPr>
        <w:t xml:space="preserve"> ($0.40 increase).</w:t>
      </w:r>
    </w:p>
    <w:p w:rsidR="006F1951" w:rsidRDefault="006F1951" w:rsidP="004918E2">
      <w:pPr>
        <w:rPr>
          <w:rFonts w:ascii="Cambria" w:hAnsi="Cambria"/>
          <w:b/>
          <w:sz w:val="24"/>
          <w:szCs w:val="24"/>
        </w:rPr>
      </w:pPr>
    </w:p>
    <w:p w:rsidR="00371E80" w:rsidRPr="007C192B" w:rsidRDefault="007C192B" w:rsidP="00B2648C">
      <w:pPr>
        <w:spacing w:before="120"/>
        <w:rPr>
          <w:rFonts w:ascii="Cambria" w:hAnsi="Cambria"/>
          <w:b/>
          <w:sz w:val="28"/>
          <w:szCs w:val="24"/>
        </w:rPr>
      </w:pPr>
      <w:r w:rsidRPr="007C192B">
        <w:rPr>
          <w:rFonts w:ascii="Cambria" w:hAnsi="Cambria"/>
          <w:b/>
          <w:sz w:val="28"/>
          <w:szCs w:val="24"/>
        </w:rPr>
        <w:t xml:space="preserve">Paid Time Off </w:t>
      </w:r>
      <w:r w:rsidR="003E0527" w:rsidRPr="007C192B">
        <w:rPr>
          <w:rFonts w:ascii="Cambria" w:hAnsi="Cambria"/>
          <w:b/>
          <w:sz w:val="28"/>
          <w:szCs w:val="24"/>
        </w:rPr>
        <w:t>Improvements:</w:t>
      </w:r>
    </w:p>
    <w:p w:rsidR="00FC7273" w:rsidRPr="00351280" w:rsidRDefault="006F1951" w:rsidP="00351280">
      <w:pPr>
        <w:pStyle w:val="ListParagraph"/>
        <w:numPr>
          <w:ilvl w:val="0"/>
          <w:numId w:val="8"/>
        </w:numPr>
        <w:spacing w:before="120"/>
        <w:rPr>
          <w:rFonts w:ascii="Cambria" w:hAnsi="Cambria"/>
          <w:sz w:val="24"/>
          <w:szCs w:val="24"/>
        </w:rPr>
      </w:pPr>
      <w:r w:rsidRPr="00351280">
        <w:rPr>
          <w:rFonts w:ascii="Cambria" w:hAnsi="Cambria"/>
          <w:b/>
          <w:sz w:val="24"/>
          <w:szCs w:val="24"/>
        </w:rPr>
        <w:t>Flex Time</w:t>
      </w:r>
      <w:r w:rsidR="00FC7273" w:rsidRPr="00351280">
        <w:rPr>
          <w:rFonts w:ascii="Cambria" w:hAnsi="Cambria"/>
          <w:b/>
          <w:sz w:val="24"/>
          <w:szCs w:val="24"/>
        </w:rPr>
        <w:t xml:space="preserve"> accruals</w:t>
      </w:r>
      <w:r w:rsidR="00FC7273" w:rsidRPr="00351280">
        <w:rPr>
          <w:rFonts w:ascii="Cambria" w:hAnsi="Cambria"/>
          <w:sz w:val="24"/>
          <w:szCs w:val="24"/>
        </w:rPr>
        <w:t xml:space="preserve"> are improved as follows:</w:t>
      </w:r>
    </w:p>
    <w:p w:rsidR="00FC7273" w:rsidRDefault="00FC7273" w:rsidP="004918E2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2565"/>
        <w:gridCol w:w="2565"/>
      </w:tblGrid>
      <w:tr w:rsidR="00FC7273" w:rsidTr="005B04B6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="00FC7273" w:rsidRDefault="006F1951" w:rsidP="004918E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Years of Service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FC7273" w:rsidRDefault="00E56FE6" w:rsidP="00E56F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Current</w:t>
            </w:r>
            <w:r w:rsidR="00FC727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Accrual</w:t>
            </w:r>
          </w:p>
          <w:p w:rsidR="00E83D47" w:rsidRDefault="00E83D47" w:rsidP="00E56F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(hours per month)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FC7273" w:rsidRDefault="00FC7273" w:rsidP="00E56F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New </w:t>
            </w:r>
            <w:r w:rsidR="00E56FE6">
              <w:rPr>
                <w:rFonts w:ascii="Cambria" w:hAnsi="Cambria"/>
                <w:b/>
                <w:sz w:val="24"/>
                <w:szCs w:val="24"/>
              </w:rPr>
              <w:t>Accrual</w:t>
            </w:r>
          </w:p>
          <w:p w:rsidR="00E83D47" w:rsidRDefault="00E83D47" w:rsidP="00E56F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(hours per month)</w:t>
            </w:r>
          </w:p>
        </w:tc>
      </w:tr>
      <w:tr w:rsidR="00FC7273" w:rsidTr="00E56FE6">
        <w:trPr>
          <w:jc w:val="center"/>
        </w:trPr>
        <w:tc>
          <w:tcPr>
            <w:tcW w:w="1975" w:type="dxa"/>
          </w:tcPr>
          <w:p w:rsidR="00FC7273" w:rsidRPr="00FC7273" w:rsidRDefault="00BA5788" w:rsidP="00E56F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0-4</w:t>
            </w:r>
          </w:p>
        </w:tc>
        <w:tc>
          <w:tcPr>
            <w:tcW w:w="2565" w:type="dxa"/>
          </w:tcPr>
          <w:p w:rsidR="00FC7273" w:rsidRPr="00FC7273" w:rsidRDefault="00E83D47" w:rsidP="00E83D4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8.34 </w:t>
            </w:r>
          </w:p>
        </w:tc>
        <w:tc>
          <w:tcPr>
            <w:tcW w:w="2565" w:type="dxa"/>
          </w:tcPr>
          <w:p w:rsidR="00FC7273" w:rsidRPr="00FC7273" w:rsidRDefault="00E83D47" w:rsidP="00E56F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</w:t>
            </w:r>
          </w:p>
        </w:tc>
      </w:tr>
      <w:tr w:rsidR="00FC7273" w:rsidTr="00E56FE6">
        <w:trPr>
          <w:jc w:val="center"/>
        </w:trPr>
        <w:tc>
          <w:tcPr>
            <w:tcW w:w="1975" w:type="dxa"/>
          </w:tcPr>
          <w:p w:rsidR="00FC7273" w:rsidRPr="00FC7273" w:rsidRDefault="00BA5788" w:rsidP="00E56F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5-9</w:t>
            </w:r>
          </w:p>
        </w:tc>
        <w:tc>
          <w:tcPr>
            <w:tcW w:w="2565" w:type="dxa"/>
          </w:tcPr>
          <w:p w:rsidR="00FC7273" w:rsidRPr="00FC7273" w:rsidRDefault="00E83D47" w:rsidP="00E56F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10.5</w:t>
            </w:r>
          </w:p>
        </w:tc>
        <w:tc>
          <w:tcPr>
            <w:tcW w:w="2565" w:type="dxa"/>
          </w:tcPr>
          <w:p w:rsidR="00FC7273" w:rsidRPr="00FC7273" w:rsidRDefault="00E83D47" w:rsidP="00E56F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11.67</w:t>
            </w:r>
          </w:p>
        </w:tc>
      </w:tr>
      <w:tr w:rsidR="00FC7273" w:rsidTr="00E56FE6">
        <w:trPr>
          <w:jc w:val="center"/>
        </w:trPr>
        <w:tc>
          <w:tcPr>
            <w:tcW w:w="1975" w:type="dxa"/>
          </w:tcPr>
          <w:p w:rsidR="00FC7273" w:rsidRPr="00FC7273" w:rsidRDefault="00BA5788" w:rsidP="00E56F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10-14</w:t>
            </w:r>
          </w:p>
        </w:tc>
        <w:tc>
          <w:tcPr>
            <w:tcW w:w="2565" w:type="dxa"/>
          </w:tcPr>
          <w:p w:rsidR="00FC7273" w:rsidRPr="00FC7273" w:rsidRDefault="00E83D47" w:rsidP="00E56F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13.34</w:t>
            </w:r>
          </w:p>
        </w:tc>
        <w:tc>
          <w:tcPr>
            <w:tcW w:w="2565" w:type="dxa"/>
          </w:tcPr>
          <w:p w:rsidR="00FC7273" w:rsidRPr="00FC7273" w:rsidRDefault="00E83D47" w:rsidP="00E56F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13.34</w:t>
            </w:r>
          </w:p>
        </w:tc>
      </w:tr>
      <w:tr w:rsidR="00FC7273" w:rsidTr="00E56FE6">
        <w:trPr>
          <w:jc w:val="center"/>
        </w:trPr>
        <w:tc>
          <w:tcPr>
            <w:tcW w:w="1975" w:type="dxa"/>
          </w:tcPr>
          <w:p w:rsidR="00FC7273" w:rsidRPr="00FC7273" w:rsidRDefault="00BA5788" w:rsidP="00E56F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15-19</w:t>
            </w:r>
          </w:p>
        </w:tc>
        <w:tc>
          <w:tcPr>
            <w:tcW w:w="2565" w:type="dxa"/>
          </w:tcPr>
          <w:p w:rsidR="00FC7273" w:rsidRPr="00FC7273" w:rsidRDefault="00E83D47" w:rsidP="00E56F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14.5</w:t>
            </w:r>
          </w:p>
        </w:tc>
        <w:tc>
          <w:tcPr>
            <w:tcW w:w="2565" w:type="dxa"/>
          </w:tcPr>
          <w:p w:rsidR="00FC7273" w:rsidRPr="00FC7273" w:rsidRDefault="00E83D47" w:rsidP="00E56F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14.5</w:t>
            </w:r>
          </w:p>
        </w:tc>
      </w:tr>
      <w:tr w:rsidR="00FC7273" w:rsidTr="00E56FE6">
        <w:trPr>
          <w:jc w:val="center"/>
        </w:trPr>
        <w:tc>
          <w:tcPr>
            <w:tcW w:w="1975" w:type="dxa"/>
          </w:tcPr>
          <w:p w:rsidR="00FC7273" w:rsidRPr="00FC7273" w:rsidRDefault="00BA5788" w:rsidP="00E56F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20+</w:t>
            </w:r>
          </w:p>
        </w:tc>
        <w:tc>
          <w:tcPr>
            <w:tcW w:w="2565" w:type="dxa"/>
          </w:tcPr>
          <w:p w:rsidR="00FC7273" w:rsidRPr="00FC7273" w:rsidRDefault="00E83D47" w:rsidP="00E56F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FC7273" w:rsidRPr="00FC7273" w:rsidRDefault="00E83D47" w:rsidP="00E56F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</w:tbl>
    <w:p w:rsidR="007C192B" w:rsidRPr="00351280" w:rsidRDefault="007C192B" w:rsidP="00F3154E">
      <w:pPr>
        <w:pStyle w:val="ListParagraph"/>
        <w:numPr>
          <w:ilvl w:val="0"/>
          <w:numId w:val="7"/>
        </w:numPr>
        <w:spacing w:beforeLines="120" w:before="288"/>
        <w:contextualSpacing w:val="0"/>
        <w:rPr>
          <w:rFonts w:ascii="Cambria" w:hAnsi="Cambria"/>
          <w:sz w:val="24"/>
          <w:szCs w:val="24"/>
        </w:rPr>
      </w:pPr>
      <w:r w:rsidRPr="00351280">
        <w:rPr>
          <w:rFonts w:ascii="Cambria" w:hAnsi="Cambria"/>
          <w:b/>
          <w:sz w:val="24"/>
          <w:szCs w:val="24"/>
        </w:rPr>
        <w:t>Up to 160 hours of paid p</w:t>
      </w:r>
      <w:r w:rsidRPr="00351280">
        <w:rPr>
          <w:rFonts w:ascii="Cambria" w:hAnsi="Cambria"/>
          <w:b/>
          <w:sz w:val="24"/>
          <w:szCs w:val="24"/>
        </w:rPr>
        <w:t xml:space="preserve">arental </w:t>
      </w:r>
      <w:r w:rsidRPr="00351280">
        <w:rPr>
          <w:rFonts w:ascii="Cambria" w:hAnsi="Cambria"/>
          <w:b/>
          <w:sz w:val="24"/>
          <w:szCs w:val="24"/>
        </w:rPr>
        <w:t>l</w:t>
      </w:r>
      <w:r w:rsidRPr="00351280">
        <w:rPr>
          <w:rFonts w:ascii="Cambria" w:hAnsi="Cambria"/>
          <w:b/>
          <w:sz w:val="24"/>
          <w:szCs w:val="24"/>
        </w:rPr>
        <w:t>eave</w:t>
      </w:r>
      <w:r w:rsidRPr="00351280">
        <w:rPr>
          <w:rFonts w:ascii="Cambria" w:hAnsi="Cambria"/>
          <w:sz w:val="24"/>
          <w:szCs w:val="24"/>
        </w:rPr>
        <w:t xml:space="preserve"> </w:t>
      </w:r>
      <w:r w:rsidRPr="00351280">
        <w:rPr>
          <w:rFonts w:ascii="Cambria" w:hAnsi="Cambria"/>
          <w:sz w:val="24"/>
          <w:szCs w:val="24"/>
        </w:rPr>
        <w:t>will be given for b</w:t>
      </w:r>
      <w:r w:rsidRPr="00351280">
        <w:rPr>
          <w:rFonts w:ascii="Cambria" w:hAnsi="Cambria"/>
          <w:sz w:val="24"/>
          <w:szCs w:val="24"/>
        </w:rPr>
        <w:t xml:space="preserve">irth, adoption, </w:t>
      </w:r>
      <w:r w:rsidRPr="00351280">
        <w:rPr>
          <w:rFonts w:ascii="Cambria" w:hAnsi="Cambria"/>
          <w:sz w:val="24"/>
          <w:szCs w:val="24"/>
        </w:rPr>
        <w:t>and/or</w:t>
      </w:r>
      <w:r w:rsidRPr="00351280">
        <w:rPr>
          <w:rFonts w:ascii="Cambria" w:hAnsi="Cambria"/>
          <w:sz w:val="24"/>
          <w:szCs w:val="24"/>
        </w:rPr>
        <w:t xml:space="preserve"> foster care placement.</w:t>
      </w:r>
    </w:p>
    <w:p w:rsidR="00BA5788" w:rsidRPr="00351280" w:rsidRDefault="007C192B" w:rsidP="00F3154E">
      <w:pPr>
        <w:pStyle w:val="ListParagraph"/>
        <w:numPr>
          <w:ilvl w:val="0"/>
          <w:numId w:val="7"/>
        </w:numPr>
        <w:spacing w:beforeLines="120" w:before="288"/>
        <w:contextualSpacing w:val="0"/>
        <w:rPr>
          <w:rFonts w:ascii="Cambria" w:hAnsi="Cambria"/>
          <w:sz w:val="24"/>
          <w:szCs w:val="24"/>
        </w:rPr>
      </w:pPr>
      <w:r w:rsidRPr="00351280">
        <w:rPr>
          <w:rFonts w:ascii="Cambria" w:hAnsi="Cambria"/>
          <w:sz w:val="24"/>
          <w:szCs w:val="24"/>
        </w:rPr>
        <w:t>W</w:t>
      </w:r>
      <w:r w:rsidR="00BA5788" w:rsidRPr="00351280">
        <w:rPr>
          <w:rFonts w:ascii="Cambria" w:hAnsi="Cambria"/>
          <w:sz w:val="24"/>
          <w:szCs w:val="24"/>
        </w:rPr>
        <w:t xml:space="preserve">ith 24 hours’ notice to supervisors, employees may take </w:t>
      </w:r>
      <w:r w:rsidR="00BA5788" w:rsidRPr="00351280">
        <w:rPr>
          <w:rFonts w:ascii="Cambria" w:hAnsi="Cambria"/>
          <w:b/>
          <w:sz w:val="24"/>
          <w:szCs w:val="24"/>
        </w:rPr>
        <w:t>unpaid leave for one of three holidays</w:t>
      </w:r>
      <w:r w:rsidR="00BA5788" w:rsidRPr="00351280">
        <w:rPr>
          <w:rFonts w:ascii="Cambria" w:hAnsi="Cambria"/>
          <w:sz w:val="24"/>
          <w:szCs w:val="24"/>
        </w:rPr>
        <w:t xml:space="preserve"> (Martin Luther King Day, Juneteenth, or Veterans Day) without disciplinary action.</w:t>
      </w:r>
    </w:p>
    <w:p w:rsidR="00733387" w:rsidRPr="00351280" w:rsidRDefault="007C192B" w:rsidP="00F3154E">
      <w:pPr>
        <w:pStyle w:val="ListParagraph"/>
        <w:numPr>
          <w:ilvl w:val="0"/>
          <w:numId w:val="7"/>
        </w:numPr>
        <w:spacing w:beforeLines="120" w:before="288"/>
        <w:contextualSpacing w:val="0"/>
        <w:rPr>
          <w:rFonts w:ascii="Cambria" w:hAnsi="Cambria"/>
          <w:b/>
          <w:sz w:val="24"/>
          <w:szCs w:val="24"/>
        </w:rPr>
      </w:pPr>
      <w:r w:rsidRPr="00351280">
        <w:rPr>
          <w:rFonts w:ascii="Cambria" w:hAnsi="Cambria"/>
          <w:b/>
          <w:sz w:val="24"/>
          <w:szCs w:val="24"/>
        </w:rPr>
        <w:t>Bereavement leave</w:t>
      </w:r>
      <w:r w:rsidRPr="00351280">
        <w:rPr>
          <w:rFonts w:ascii="Cambria" w:hAnsi="Cambria"/>
          <w:sz w:val="24"/>
          <w:szCs w:val="24"/>
        </w:rPr>
        <w:t xml:space="preserve"> will be granted for adoptive and foster parents, employees’ and spouses’ half and step siblings and their spouses, and employees’ and spouses’ step grandparents and step grandchildren.</w:t>
      </w:r>
      <w:r w:rsidR="00733387" w:rsidRPr="00351280">
        <w:rPr>
          <w:rFonts w:ascii="Cambria" w:hAnsi="Cambria"/>
          <w:b/>
          <w:sz w:val="24"/>
          <w:szCs w:val="24"/>
        </w:rPr>
        <w:br w:type="page"/>
      </w:r>
    </w:p>
    <w:p w:rsidR="00A96BF3" w:rsidRPr="007C192B" w:rsidRDefault="00FB789C" w:rsidP="00A96BF3">
      <w:pPr>
        <w:rPr>
          <w:rFonts w:ascii="Cambria" w:hAnsi="Cambria"/>
          <w:b/>
          <w:sz w:val="28"/>
          <w:szCs w:val="24"/>
        </w:rPr>
      </w:pPr>
      <w:r w:rsidRPr="007C192B">
        <w:rPr>
          <w:rFonts w:ascii="Cambria" w:hAnsi="Cambria"/>
          <w:b/>
          <w:sz w:val="28"/>
          <w:szCs w:val="24"/>
        </w:rPr>
        <w:lastRenderedPageBreak/>
        <w:t>401(k)</w:t>
      </w:r>
      <w:r w:rsidR="001F215E" w:rsidRPr="007C192B">
        <w:rPr>
          <w:rFonts w:ascii="Cambria" w:hAnsi="Cambria"/>
          <w:b/>
          <w:sz w:val="28"/>
          <w:szCs w:val="24"/>
        </w:rPr>
        <w:t xml:space="preserve"> Change and</w:t>
      </w:r>
      <w:r w:rsidRPr="007C192B">
        <w:rPr>
          <w:rFonts w:ascii="Cambria" w:hAnsi="Cambria"/>
          <w:b/>
          <w:sz w:val="28"/>
          <w:szCs w:val="24"/>
        </w:rPr>
        <w:t xml:space="preserve"> Improvements</w:t>
      </w:r>
      <w:r w:rsidR="00A96BF3" w:rsidRPr="007C192B">
        <w:rPr>
          <w:rFonts w:ascii="Cambria" w:hAnsi="Cambria"/>
          <w:b/>
          <w:sz w:val="28"/>
          <w:szCs w:val="24"/>
        </w:rPr>
        <w:t>:</w:t>
      </w:r>
    </w:p>
    <w:p w:rsidR="001F215E" w:rsidRPr="00F774AB" w:rsidRDefault="001F215E" w:rsidP="00F41E3A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F774AB">
        <w:rPr>
          <w:rFonts w:ascii="Cambria" w:hAnsi="Cambria"/>
          <w:sz w:val="24"/>
          <w:szCs w:val="24"/>
        </w:rPr>
        <w:t>The HCAP and HSP</w:t>
      </w:r>
      <w:r w:rsidR="00286A40" w:rsidRPr="00F774AB">
        <w:rPr>
          <w:rFonts w:ascii="Cambria" w:hAnsi="Cambria"/>
          <w:sz w:val="24"/>
          <w:szCs w:val="24"/>
        </w:rPr>
        <w:t xml:space="preserve"> 401(k) </w:t>
      </w:r>
      <w:r w:rsidRPr="00F774AB">
        <w:rPr>
          <w:rFonts w:ascii="Cambria" w:hAnsi="Cambria"/>
          <w:sz w:val="24"/>
          <w:szCs w:val="24"/>
        </w:rPr>
        <w:t xml:space="preserve">plans will be discontinued, and all </w:t>
      </w:r>
      <w:r w:rsidR="009D0697" w:rsidRPr="00F774AB">
        <w:rPr>
          <w:rFonts w:ascii="Cambria" w:hAnsi="Cambria"/>
          <w:sz w:val="24"/>
          <w:szCs w:val="24"/>
        </w:rPr>
        <w:t xml:space="preserve">employees will be placed in Lockheed Martin’s </w:t>
      </w:r>
      <w:r w:rsidR="00AC0038" w:rsidRPr="00F774AB">
        <w:rPr>
          <w:rFonts w:ascii="Cambria" w:hAnsi="Cambria"/>
          <w:sz w:val="24"/>
          <w:szCs w:val="24"/>
        </w:rPr>
        <w:t xml:space="preserve">new 401(k) plan, called the </w:t>
      </w:r>
      <w:r w:rsidRPr="00F774AB">
        <w:rPr>
          <w:rFonts w:ascii="Cambria" w:hAnsi="Cambria"/>
          <w:sz w:val="24"/>
          <w:szCs w:val="24"/>
        </w:rPr>
        <w:t xml:space="preserve">Performance Sharing Plan (PSP). Under the PSP, all employee </w:t>
      </w:r>
      <w:r w:rsidR="009D0697" w:rsidRPr="00F774AB">
        <w:rPr>
          <w:rFonts w:ascii="Cambria" w:hAnsi="Cambria"/>
          <w:sz w:val="24"/>
          <w:szCs w:val="24"/>
        </w:rPr>
        <w:t xml:space="preserve">and company </w:t>
      </w:r>
      <w:r w:rsidRPr="00F774AB">
        <w:rPr>
          <w:rFonts w:ascii="Cambria" w:hAnsi="Cambria"/>
          <w:sz w:val="24"/>
          <w:szCs w:val="24"/>
        </w:rPr>
        <w:t xml:space="preserve">contributions will be based on a percentage of your weekly eligible base pay. </w:t>
      </w:r>
      <w:r w:rsidR="00286A40" w:rsidRPr="00F774AB">
        <w:rPr>
          <w:rFonts w:ascii="Cambria" w:hAnsi="Cambria"/>
          <w:sz w:val="24"/>
          <w:szCs w:val="24"/>
        </w:rPr>
        <w:t>E</w:t>
      </w:r>
      <w:r w:rsidRPr="00F774AB">
        <w:rPr>
          <w:rFonts w:ascii="Cambria" w:hAnsi="Cambria"/>
          <w:sz w:val="24"/>
          <w:szCs w:val="24"/>
        </w:rPr>
        <w:t>mployees’ HSP and HCAP balances will be preserved</w:t>
      </w:r>
      <w:r w:rsidR="00552408" w:rsidRPr="00F774AB">
        <w:rPr>
          <w:rFonts w:ascii="Cambria" w:hAnsi="Cambria"/>
          <w:sz w:val="24"/>
          <w:szCs w:val="24"/>
        </w:rPr>
        <w:t>, with the eventual ability to transfer your balance into the PSP</w:t>
      </w:r>
      <w:r w:rsidRPr="00F774AB">
        <w:rPr>
          <w:rFonts w:ascii="Cambria" w:hAnsi="Cambria"/>
          <w:sz w:val="24"/>
          <w:szCs w:val="24"/>
        </w:rPr>
        <w:t>.</w:t>
      </w:r>
    </w:p>
    <w:p w:rsidR="00A96BF3" w:rsidRDefault="009D0697" w:rsidP="00F774AB">
      <w:pPr>
        <w:pStyle w:val="ListParagraph"/>
        <w:numPr>
          <w:ilvl w:val="0"/>
          <w:numId w:val="1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company will contribute 6% of base pay on behalf of all employees. At the new average pay rate of $26.</w:t>
      </w:r>
      <w:r w:rsidR="00DE5451">
        <w:rPr>
          <w:rFonts w:ascii="Cambria" w:hAnsi="Cambria"/>
          <w:sz w:val="24"/>
          <w:szCs w:val="24"/>
        </w:rPr>
        <w:t>35</w:t>
      </w:r>
      <w:r>
        <w:rPr>
          <w:rFonts w:ascii="Cambria" w:hAnsi="Cambria"/>
          <w:sz w:val="24"/>
          <w:szCs w:val="24"/>
        </w:rPr>
        <w:t xml:space="preserve">, this will be roughly $63 per week, or </w:t>
      </w:r>
      <w:r w:rsidRPr="005E489B">
        <w:rPr>
          <w:rFonts w:ascii="Cambria" w:hAnsi="Cambria"/>
          <w:b/>
          <w:sz w:val="24"/>
          <w:szCs w:val="24"/>
        </w:rPr>
        <w:t>$3,2</w:t>
      </w:r>
      <w:r w:rsidR="00DE5451">
        <w:rPr>
          <w:rFonts w:ascii="Cambria" w:hAnsi="Cambria"/>
          <w:b/>
          <w:sz w:val="24"/>
          <w:szCs w:val="24"/>
        </w:rPr>
        <w:t>88</w:t>
      </w:r>
      <w:r w:rsidRPr="005E489B">
        <w:rPr>
          <w:rFonts w:ascii="Cambria" w:hAnsi="Cambria"/>
          <w:b/>
          <w:sz w:val="24"/>
          <w:szCs w:val="24"/>
        </w:rPr>
        <w:t xml:space="preserve"> per year</w:t>
      </w:r>
      <w:r>
        <w:rPr>
          <w:rFonts w:ascii="Cambria" w:hAnsi="Cambria"/>
          <w:sz w:val="24"/>
          <w:szCs w:val="24"/>
        </w:rPr>
        <w:t xml:space="preserve">—an </w:t>
      </w:r>
      <w:r w:rsidRPr="005E489B">
        <w:rPr>
          <w:rFonts w:ascii="Cambria" w:hAnsi="Cambria"/>
          <w:b/>
          <w:sz w:val="24"/>
          <w:szCs w:val="24"/>
        </w:rPr>
        <w:t>increase of roughly 64%</w:t>
      </w:r>
      <w:r>
        <w:rPr>
          <w:rFonts w:ascii="Cambria" w:hAnsi="Cambria"/>
          <w:sz w:val="24"/>
          <w:szCs w:val="24"/>
        </w:rPr>
        <w:t xml:space="preserve"> over the current $2,000 annual contribution.</w:t>
      </w:r>
    </w:p>
    <w:p w:rsidR="00FB789C" w:rsidRDefault="009D0697" w:rsidP="00F774AB">
      <w:pPr>
        <w:pStyle w:val="ListParagraph"/>
        <w:numPr>
          <w:ilvl w:val="0"/>
          <w:numId w:val="1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addition, the company will match 50% up to 8% of base pay into the PSP. At the new average pay rate of $26.</w:t>
      </w:r>
      <w:r w:rsidR="00DE5451">
        <w:rPr>
          <w:rFonts w:ascii="Cambria" w:hAnsi="Cambria"/>
          <w:sz w:val="24"/>
          <w:szCs w:val="24"/>
        </w:rPr>
        <w:t>35</w:t>
      </w:r>
      <w:r>
        <w:rPr>
          <w:rFonts w:ascii="Cambria" w:hAnsi="Cambria"/>
          <w:sz w:val="24"/>
          <w:szCs w:val="24"/>
        </w:rPr>
        <w:t xml:space="preserve">, this will be a maximum contribution of roughly </w:t>
      </w:r>
      <w:r w:rsidRPr="005E489B">
        <w:rPr>
          <w:rFonts w:ascii="Cambria" w:hAnsi="Cambria"/>
          <w:b/>
          <w:sz w:val="24"/>
          <w:szCs w:val="24"/>
        </w:rPr>
        <w:t>$</w:t>
      </w:r>
      <w:r w:rsidR="005E489B" w:rsidRPr="005E489B">
        <w:rPr>
          <w:rFonts w:ascii="Cambria" w:hAnsi="Cambria"/>
          <w:b/>
          <w:sz w:val="24"/>
          <w:szCs w:val="24"/>
        </w:rPr>
        <w:t>42</w:t>
      </w:r>
      <w:r w:rsidRPr="005E489B">
        <w:rPr>
          <w:rFonts w:ascii="Cambria" w:hAnsi="Cambria"/>
          <w:b/>
          <w:sz w:val="24"/>
          <w:szCs w:val="24"/>
        </w:rPr>
        <w:t xml:space="preserve"> per week</w:t>
      </w:r>
      <w:r>
        <w:rPr>
          <w:rFonts w:ascii="Cambria" w:hAnsi="Cambria"/>
          <w:sz w:val="24"/>
          <w:szCs w:val="24"/>
        </w:rPr>
        <w:t>—</w:t>
      </w:r>
      <w:r w:rsidRPr="005E489B">
        <w:rPr>
          <w:rFonts w:ascii="Cambria" w:hAnsi="Cambria"/>
          <w:b/>
          <w:sz w:val="24"/>
          <w:szCs w:val="24"/>
        </w:rPr>
        <w:t xml:space="preserve">an increase of </w:t>
      </w:r>
      <w:r w:rsidR="00DE5451">
        <w:rPr>
          <w:rFonts w:ascii="Cambria" w:hAnsi="Cambria"/>
          <w:b/>
          <w:sz w:val="24"/>
          <w:szCs w:val="24"/>
        </w:rPr>
        <w:t>nearly</w:t>
      </w:r>
      <w:r w:rsidRPr="005E489B">
        <w:rPr>
          <w:rFonts w:ascii="Cambria" w:hAnsi="Cambria"/>
          <w:b/>
          <w:sz w:val="24"/>
          <w:szCs w:val="24"/>
        </w:rPr>
        <w:t xml:space="preserve"> </w:t>
      </w:r>
      <w:r w:rsidR="00295F7D">
        <w:rPr>
          <w:rFonts w:ascii="Cambria" w:hAnsi="Cambria"/>
          <w:b/>
          <w:sz w:val="24"/>
          <w:szCs w:val="24"/>
        </w:rPr>
        <w:t>1</w:t>
      </w:r>
      <w:r w:rsidR="00DE5451">
        <w:rPr>
          <w:rFonts w:ascii="Cambria" w:hAnsi="Cambria"/>
          <w:b/>
          <w:sz w:val="24"/>
          <w:szCs w:val="24"/>
        </w:rPr>
        <w:t>4</w:t>
      </w:r>
      <w:r w:rsidRPr="005E489B">
        <w:rPr>
          <w:rFonts w:ascii="Cambria" w:hAnsi="Cambria"/>
          <w:b/>
          <w:sz w:val="24"/>
          <w:szCs w:val="24"/>
        </w:rPr>
        <w:t xml:space="preserve">% </w:t>
      </w:r>
      <w:r>
        <w:rPr>
          <w:rFonts w:ascii="Cambria" w:hAnsi="Cambria"/>
          <w:sz w:val="24"/>
          <w:szCs w:val="24"/>
        </w:rPr>
        <w:t>over the current $37 weekly max.</w:t>
      </w:r>
    </w:p>
    <w:p w:rsidR="00286A40" w:rsidRPr="00CF3C10" w:rsidRDefault="00286A40" w:rsidP="00F774AB">
      <w:pPr>
        <w:pStyle w:val="ListParagraph"/>
        <w:numPr>
          <w:ilvl w:val="0"/>
          <w:numId w:val="1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Because the PSP provides a percentage based contribution, the company’s contribution amounts will increase automatically with all wage improvements—GWI, ARP, etc.</w:t>
      </w:r>
    </w:p>
    <w:p w:rsidR="00A96BF3" w:rsidRDefault="00A96BF3" w:rsidP="00A96BF3">
      <w:pPr>
        <w:rPr>
          <w:rFonts w:ascii="Cambria" w:hAnsi="Cambria"/>
          <w:b/>
          <w:sz w:val="28"/>
          <w:szCs w:val="24"/>
        </w:rPr>
      </w:pPr>
    </w:p>
    <w:p w:rsidR="00FB789C" w:rsidRPr="00B61691" w:rsidRDefault="00FB789C" w:rsidP="00FB789C">
      <w:pPr>
        <w:rPr>
          <w:rFonts w:ascii="Cambria" w:hAnsi="Cambria"/>
          <w:b/>
          <w:sz w:val="24"/>
          <w:szCs w:val="24"/>
        </w:rPr>
      </w:pPr>
      <w:r w:rsidRPr="007C192B">
        <w:rPr>
          <w:rFonts w:ascii="Cambria" w:hAnsi="Cambria"/>
          <w:b/>
          <w:sz w:val="28"/>
          <w:szCs w:val="24"/>
        </w:rPr>
        <w:t>Medical Improvements:</w:t>
      </w:r>
    </w:p>
    <w:p w:rsidR="00FB789C" w:rsidRDefault="00FB789C" w:rsidP="00F41E3A">
      <w:pPr>
        <w:pStyle w:val="ListParagraph"/>
        <w:numPr>
          <w:ilvl w:val="0"/>
          <w:numId w:val="1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UPMC HMO plan is maintained for all employees currently eligible, at the same 92% / 8% cost share.</w:t>
      </w:r>
      <w:r w:rsidR="003B4051">
        <w:rPr>
          <w:rFonts w:ascii="Cambria" w:hAnsi="Cambria"/>
          <w:sz w:val="24"/>
          <w:szCs w:val="24"/>
        </w:rPr>
        <w:t xml:space="preserve"> </w:t>
      </w:r>
    </w:p>
    <w:p w:rsidR="00FB789C" w:rsidRDefault="00FB789C" w:rsidP="00B2648C">
      <w:pPr>
        <w:pStyle w:val="ListParagraph"/>
        <w:numPr>
          <w:ilvl w:val="0"/>
          <w:numId w:val="1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High Deductible Health Plans (HDHP) 2 and 3 w</w:t>
      </w:r>
      <w:r w:rsidR="00786216">
        <w:rPr>
          <w:rFonts w:ascii="Cambria" w:hAnsi="Cambria"/>
          <w:sz w:val="24"/>
          <w:szCs w:val="24"/>
        </w:rPr>
        <w:t>ill have a reduced cost share</w:t>
      </w:r>
      <w:r>
        <w:rPr>
          <w:rFonts w:ascii="Cambria" w:hAnsi="Cambria"/>
          <w:sz w:val="24"/>
          <w:szCs w:val="24"/>
        </w:rPr>
        <w:t>:</w:t>
      </w:r>
    </w:p>
    <w:p w:rsidR="00FB789C" w:rsidRPr="00FB789C" w:rsidRDefault="00FB789C" w:rsidP="00FB789C">
      <w:pPr>
        <w:pStyle w:val="ListParagraph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2641"/>
        <w:gridCol w:w="3060"/>
      </w:tblGrid>
      <w:tr w:rsidR="00FB789C" w:rsidRPr="00FB789C" w:rsidTr="005B04B6"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C" w:rsidRPr="00FB789C" w:rsidRDefault="00FB789C">
            <w:pPr>
              <w:pStyle w:val="ListParagraph"/>
              <w:ind w:left="0"/>
              <w:jc w:val="both"/>
              <w:textAlignment w:val="baseline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89C" w:rsidRPr="00FB789C" w:rsidRDefault="00FB789C">
            <w:pPr>
              <w:pStyle w:val="ListParagraph"/>
              <w:ind w:left="0"/>
              <w:jc w:val="center"/>
              <w:textAlignment w:val="baseline"/>
              <w:rPr>
                <w:rFonts w:ascii="Cambria" w:hAnsi="Cambria" w:cs="Arial"/>
                <w:sz w:val="24"/>
                <w:szCs w:val="24"/>
              </w:rPr>
            </w:pPr>
            <w:r w:rsidRPr="00FB789C">
              <w:rPr>
                <w:rFonts w:ascii="Cambria" w:hAnsi="Cambria" w:cs="Arial"/>
                <w:sz w:val="24"/>
                <w:szCs w:val="24"/>
              </w:rPr>
              <w:t>Company Cost Share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89C" w:rsidRPr="00FB789C" w:rsidRDefault="00FB789C">
            <w:pPr>
              <w:pStyle w:val="ListParagraph"/>
              <w:ind w:left="0"/>
              <w:jc w:val="center"/>
              <w:textAlignment w:val="baseline"/>
              <w:rPr>
                <w:rFonts w:ascii="Cambria" w:hAnsi="Cambria" w:cs="Arial"/>
                <w:sz w:val="24"/>
                <w:szCs w:val="24"/>
              </w:rPr>
            </w:pPr>
            <w:r w:rsidRPr="00FB789C">
              <w:rPr>
                <w:rFonts w:ascii="Cambria" w:hAnsi="Cambria" w:cs="Arial"/>
                <w:sz w:val="24"/>
                <w:szCs w:val="24"/>
              </w:rPr>
              <w:t>Employee Cost Share</w:t>
            </w:r>
          </w:p>
        </w:tc>
      </w:tr>
      <w:tr w:rsidR="00FB789C" w:rsidRPr="00FB789C" w:rsidTr="00FB789C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89C" w:rsidRPr="00FB789C" w:rsidRDefault="00FB789C">
            <w:pPr>
              <w:pStyle w:val="ListParagraph"/>
              <w:ind w:left="0"/>
              <w:jc w:val="both"/>
              <w:textAlignment w:val="baseline"/>
              <w:rPr>
                <w:rFonts w:ascii="Cambria" w:hAnsi="Cambria" w:cs="Arial"/>
                <w:sz w:val="24"/>
                <w:szCs w:val="24"/>
              </w:rPr>
            </w:pPr>
            <w:r w:rsidRPr="00FB789C">
              <w:rPr>
                <w:rFonts w:ascii="Cambria" w:hAnsi="Cambria" w:cs="Arial"/>
                <w:sz w:val="24"/>
                <w:szCs w:val="24"/>
              </w:rPr>
              <w:t>HDHP Plan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89C" w:rsidRPr="00FB789C" w:rsidRDefault="00FB789C">
            <w:pPr>
              <w:pStyle w:val="ListParagraph"/>
              <w:ind w:left="0"/>
              <w:jc w:val="center"/>
              <w:textAlignment w:val="baseline"/>
              <w:rPr>
                <w:rFonts w:ascii="Cambria" w:hAnsi="Cambria" w:cs="Arial"/>
                <w:strike/>
                <w:sz w:val="24"/>
                <w:szCs w:val="24"/>
              </w:rPr>
            </w:pPr>
            <w:r w:rsidRPr="00FB789C">
              <w:rPr>
                <w:rFonts w:ascii="Cambria" w:hAnsi="Cambria" w:cs="Arial"/>
                <w:sz w:val="24"/>
                <w:szCs w:val="24"/>
              </w:rPr>
              <w:t>92%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89C" w:rsidRPr="00FB789C" w:rsidRDefault="00FB789C">
            <w:pPr>
              <w:pStyle w:val="ListParagraph"/>
              <w:ind w:left="0"/>
              <w:jc w:val="center"/>
              <w:textAlignment w:val="baseline"/>
              <w:rPr>
                <w:rFonts w:ascii="Cambria" w:hAnsi="Cambria" w:cs="Arial"/>
                <w:sz w:val="24"/>
                <w:szCs w:val="24"/>
              </w:rPr>
            </w:pPr>
            <w:r w:rsidRPr="00FB789C">
              <w:rPr>
                <w:rFonts w:ascii="Cambria" w:hAnsi="Cambria" w:cs="Arial"/>
                <w:sz w:val="24"/>
                <w:szCs w:val="24"/>
              </w:rPr>
              <w:t>8%</w:t>
            </w:r>
          </w:p>
        </w:tc>
      </w:tr>
      <w:tr w:rsidR="00FB789C" w:rsidRPr="00FB789C" w:rsidTr="00FB789C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89C" w:rsidRPr="00FB789C" w:rsidRDefault="00FB789C">
            <w:pPr>
              <w:pStyle w:val="ListParagraph"/>
              <w:ind w:left="0"/>
              <w:jc w:val="both"/>
              <w:textAlignment w:val="baseline"/>
              <w:rPr>
                <w:rFonts w:ascii="Cambria" w:hAnsi="Cambria" w:cs="Arial"/>
                <w:bCs/>
                <w:sz w:val="24"/>
                <w:szCs w:val="24"/>
              </w:rPr>
            </w:pPr>
            <w:r w:rsidRPr="00FB789C">
              <w:rPr>
                <w:rFonts w:ascii="Cambria" w:hAnsi="Cambria" w:cs="Arial"/>
                <w:bCs/>
                <w:sz w:val="24"/>
                <w:szCs w:val="24"/>
              </w:rPr>
              <w:t>HDHP Plan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89C" w:rsidRPr="00FB789C" w:rsidRDefault="00FB789C" w:rsidP="00FB789C">
            <w:pPr>
              <w:pStyle w:val="ListParagraph"/>
              <w:ind w:left="0"/>
              <w:jc w:val="center"/>
              <w:textAlignment w:val="baseline"/>
              <w:rPr>
                <w:rFonts w:ascii="Cambria" w:hAnsi="Cambria" w:cs="Arial"/>
                <w:bCs/>
                <w:sz w:val="24"/>
                <w:szCs w:val="24"/>
              </w:rPr>
            </w:pPr>
            <w:r w:rsidRPr="00FB789C">
              <w:rPr>
                <w:rFonts w:ascii="Cambria" w:hAnsi="Cambria" w:cs="Arial"/>
                <w:bCs/>
                <w:sz w:val="24"/>
                <w:szCs w:val="24"/>
              </w:rPr>
              <w:t>9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>5</w:t>
            </w:r>
            <w:r w:rsidRPr="00FB789C">
              <w:rPr>
                <w:rFonts w:ascii="Cambria" w:hAnsi="Cambria" w:cs="Arial"/>
                <w:bCs/>
                <w:sz w:val="24"/>
                <w:szCs w:val="24"/>
              </w:rPr>
              <w:t>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89C" w:rsidRPr="00FB789C" w:rsidRDefault="00FB789C">
            <w:pPr>
              <w:pStyle w:val="ListParagraph"/>
              <w:ind w:left="0"/>
              <w:jc w:val="center"/>
              <w:textAlignment w:val="baseline"/>
              <w:rPr>
                <w:rFonts w:ascii="Cambria" w:hAnsi="Cambria" w:cs="Arial"/>
                <w:bCs/>
                <w:sz w:val="24"/>
                <w:szCs w:val="24"/>
              </w:rPr>
            </w:pPr>
            <w:r w:rsidRPr="00FB789C">
              <w:rPr>
                <w:rFonts w:ascii="Cambria" w:hAnsi="Cambria" w:cs="Arial"/>
                <w:sz w:val="24"/>
                <w:szCs w:val="24"/>
              </w:rPr>
              <w:t>5</w:t>
            </w:r>
            <w:r w:rsidRPr="00FB789C">
              <w:rPr>
                <w:rFonts w:ascii="Cambria" w:hAnsi="Cambria" w:cs="Arial"/>
                <w:bCs/>
                <w:sz w:val="24"/>
                <w:szCs w:val="24"/>
              </w:rPr>
              <w:t>%</w:t>
            </w:r>
          </w:p>
        </w:tc>
      </w:tr>
      <w:tr w:rsidR="00FB789C" w:rsidRPr="00FB789C" w:rsidTr="00FB789C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89C" w:rsidRPr="00FB789C" w:rsidRDefault="00FB789C">
            <w:pPr>
              <w:pStyle w:val="ListParagraph"/>
              <w:ind w:left="0"/>
              <w:jc w:val="both"/>
              <w:textAlignment w:val="baseline"/>
              <w:rPr>
                <w:rFonts w:ascii="Cambria" w:hAnsi="Cambria" w:cs="Arial"/>
                <w:bCs/>
                <w:sz w:val="24"/>
                <w:szCs w:val="24"/>
              </w:rPr>
            </w:pPr>
            <w:r w:rsidRPr="00FB789C">
              <w:rPr>
                <w:rFonts w:ascii="Cambria" w:hAnsi="Cambria" w:cs="Arial"/>
                <w:bCs/>
                <w:sz w:val="24"/>
                <w:szCs w:val="24"/>
              </w:rPr>
              <w:t>HDHP Plan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89C" w:rsidRPr="00FB789C" w:rsidRDefault="00FB789C">
            <w:pPr>
              <w:pStyle w:val="ListParagraph"/>
              <w:ind w:left="0"/>
              <w:jc w:val="center"/>
              <w:textAlignment w:val="baseline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97</w:t>
            </w:r>
            <w:r w:rsidRPr="00FB789C">
              <w:rPr>
                <w:rFonts w:ascii="Cambria" w:hAnsi="Cambria" w:cs="Arial"/>
                <w:bCs/>
                <w:sz w:val="24"/>
                <w:szCs w:val="24"/>
              </w:rPr>
              <w:t>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89C" w:rsidRPr="00FB789C" w:rsidRDefault="00FB789C">
            <w:pPr>
              <w:pStyle w:val="ListParagraph"/>
              <w:ind w:left="0"/>
              <w:jc w:val="center"/>
              <w:textAlignment w:val="baseline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</w:t>
            </w:r>
            <w:r w:rsidRPr="00FB789C">
              <w:rPr>
                <w:rFonts w:ascii="Cambria" w:hAnsi="Cambria" w:cs="Arial"/>
                <w:bCs/>
                <w:sz w:val="24"/>
                <w:szCs w:val="24"/>
              </w:rPr>
              <w:t>%</w:t>
            </w:r>
          </w:p>
        </w:tc>
      </w:tr>
    </w:tbl>
    <w:p w:rsidR="00B2648C" w:rsidRDefault="00B2648C" w:rsidP="00562C23">
      <w:pPr>
        <w:rPr>
          <w:rFonts w:ascii="Cambria" w:hAnsi="Cambria"/>
          <w:b/>
          <w:sz w:val="28"/>
          <w:szCs w:val="24"/>
        </w:rPr>
      </w:pPr>
    </w:p>
    <w:p w:rsidR="00562C23" w:rsidRPr="007C192B" w:rsidRDefault="00562C23" w:rsidP="00562C23">
      <w:pPr>
        <w:rPr>
          <w:rFonts w:ascii="Cambria" w:hAnsi="Cambria"/>
          <w:b/>
          <w:sz w:val="28"/>
          <w:szCs w:val="24"/>
        </w:rPr>
      </w:pPr>
      <w:r w:rsidRPr="007C192B">
        <w:rPr>
          <w:rFonts w:ascii="Cambria" w:hAnsi="Cambria"/>
          <w:b/>
          <w:sz w:val="28"/>
          <w:szCs w:val="24"/>
        </w:rPr>
        <w:t>Other</w:t>
      </w:r>
      <w:r w:rsidR="001631A6" w:rsidRPr="007C192B">
        <w:rPr>
          <w:rFonts w:ascii="Cambria" w:hAnsi="Cambria"/>
          <w:b/>
          <w:sz w:val="28"/>
          <w:szCs w:val="24"/>
        </w:rPr>
        <w:t xml:space="preserve"> Improvements</w:t>
      </w:r>
      <w:r w:rsidRPr="007C192B">
        <w:rPr>
          <w:rFonts w:ascii="Cambria" w:hAnsi="Cambria"/>
          <w:b/>
          <w:sz w:val="28"/>
          <w:szCs w:val="24"/>
        </w:rPr>
        <w:t>:</w:t>
      </w:r>
    </w:p>
    <w:p w:rsidR="00562C23" w:rsidRDefault="00562C23" w:rsidP="00B2648C">
      <w:pPr>
        <w:pStyle w:val="ListParagraph"/>
        <w:numPr>
          <w:ilvl w:val="0"/>
          <w:numId w:val="6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Ratification bo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nus of </w:t>
      </w:r>
      <w:r w:rsidRPr="00562C23">
        <w:rPr>
          <w:rFonts w:ascii="Cambria" w:hAnsi="Cambria"/>
          <w:b/>
          <w:sz w:val="24"/>
          <w:szCs w:val="24"/>
        </w:rPr>
        <w:t>$4,000</w:t>
      </w:r>
      <w:r>
        <w:rPr>
          <w:rFonts w:ascii="Cambria" w:hAnsi="Cambria"/>
          <w:sz w:val="24"/>
          <w:szCs w:val="24"/>
        </w:rPr>
        <w:t>.</w:t>
      </w:r>
    </w:p>
    <w:p w:rsidR="00562C23" w:rsidRDefault="00562C23" w:rsidP="00B2648C">
      <w:pPr>
        <w:pStyle w:val="ListParagraph"/>
        <w:numPr>
          <w:ilvl w:val="0"/>
          <w:numId w:val="6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Supplemental wage payment increased from $600 to </w:t>
      </w:r>
      <w:r w:rsidRPr="00562C23">
        <w:rPr>
          <w:rFonts w:ascii="Cambria" w:hAnsi="Cambria"/>
          <w:b/>
          <w:sz w:val="24"/>
          <w:szCs w:val="24"/>
        </w:rPr>
        <w:t>$1,000 per year</w:t>
      </w:r>
      <w:r>
        <w:rPr>
          <w:rFonts w:ascii="Cambria" w:hAnsi="Cambria"/>
          <w:sz w:val="24"/>
          <w:szCs w:val="24"/>
        </w:rPr>
        <w:t>.</w:t>
      </w:r>
    </w:p>
    <w:p w:rsidR="00733387" w:rsidRDefault="00733387" w:rsidP="00B2648C">
      <w:pPr>
        <w:pStyle w:val="ListParagraph"/>
        <w:numPr>
          <w:ilvl w:val="0"/>
          <w:numId w:val="6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Short-term disability </w:t>
      </w:r>
      <w:r w:rsidRPr="00E92639">
        <w:rPr>
          <w:rFonts w:ascii="Cambria" w:hAnsi="Cambria"/>
          <w:sz w:val="24"/>
          <w:szCs w:val="24"/>
        </w:rPr>
        <w:t>is improved to provide benefit of</w:t>
      </w:r>
      <w:r>
        <w:rPr>
          <w:rFonts w:ascii="Cambria" w:hAnsi="Cambria"/>
          <w:b/>
          <w:sz w:val="24"/>
          <w:szCs w:val="24"/>
        </w:rPr>
        <w:t xml:space="preserve"> 55% of weekly earnings, with no cap. </w:t>
      </w:r>
      <w:r w:rsidRPr="00733387">
        <w:rPr>
          <w:rFonts w:ascii="Cambria" w:hAnsi="Cambria"/>
          <w:sz w:val="24"/>
          <w:szCs w:val="24"/>
        </w:rPr>
        <w:t>At the new average wage of $26.</w:t>
      </w:r>
      <w:r w:rsidR="00DE5451">
        <w:rPr>
          <w:rFonts w:ascii="Cambria" w:hAnsi="Cambria"/>
          <w:sz w:val="24"/>
          <w:szCs w:val="24"/>
        </w:rPr>
        <w:t>35</w:t>
      </w:r>
      <w:r w:rsidRPr="00733387">
        <w:rPr>
          <w:rFonts w:ascii="Cambria" w:hAnsi="Cambria"/>
          <w:sz w:val="24"/>
          <w:szCs w:val="24"/>
        </w:rPr>
        <w:t>, this will be an increase to</w:t>
      </w:r>
      <w:r w:rsidR="00DE5451">
        <w:rPr>
          <w:rFonts w:ascii="Cambria" w:hAnsi="Cambria"/>
          <w:sz w:val="24"/>
          <w:szCs w:val="24"/>
        </w:rPr>
        <w:t xml:space="preserve"> almost</w:t>
      </w:r>
      <w:r w:rsidR="00DE5451">
        <w:rPr>
          <w:rFonts w:ascii="Cambria" w:hAnsi="Cambria"/>
          <w:b/>
          <w:sz w:val="24"/>
          <w:szCs w:val="24"/>
        </w:rPr>
        <w:t xml:space="preserve"> $580</w:t>
      </w:r>
      <w:r>
        <w:rPr>
          <w:rFonts w:ascii="Cambria" w:hAnsi="Cambria"/>
          <w:b/>
          <w:sz w:val="24"/>
          <w:szCs w:val="24"/>
        </w:rPr>
        <w:t xml:space="preserve"> per week</w:t>
      </w:r>
      <w:r w:rsidRPr="00733387">
        <w:rPr>
          <w:rFonts w:ascii="Cambria" w:hAnsi="Cambria"/>
          <w:sz w:val="24"/>
          <w:szCs w:val="24"/>
        </w:rPr>
        <w:t>, from the current $390.</w:t>
      </w:r>
      <w:r>
        <w:rPr>
          <w:rFonts w:ascii="Cambria" w:hAnsi="Cambria"/>
          <w:b/>
          <w:sz w:val="24"/>
          <w:szCs w:val="24"/>
        </w:rPr>
        <w:t xml:space="preserve"> </w:t>
      </w:r>
      <w:r w:rsidRPr="00E92639">
        <w:rPr>
          <w:rFonts w:ascii="Cambria" w:hAnsi="Cambria"/>
          <w:sz w:val="24"/>
          <w:szCs w:val="24"/>
        </w:rPr>
        <w:t>The current $390 weekly benefit will be a minimum, to ensure that all employees are provided the same or a higher benefit.</w:t>
      </w:r>
    </w:p>
    <w:p w:rsidR="0010269F" w:rsidRDefault="00562C23" w:rsidP="00B2648C">
      <w:pPr>
        <w:pStyle w:val="ListParagraph"/>
        <w:numPr>
          <w:ilvl w:val="0"/>
          <w:numId w:val="6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10269F">
        <w:rPr>
          <w:rFonts w:ascii="Cambria" w:hAnsi="Cambria"/>
          <w:sz w:val="24"/>
          <w:szCs w:val="24"/>
        </w:rPr>
        <w:t xml:space="preserve">Safety foot protection allowance is increased from $100 to </w:t>
      </w:r>
      <w:r w:rsidRPr="0010269F">
        <w:rPr>
          <w:rFonts w:ascii="Cambria" w:hAnsi="Cambria"/>
          <w:b/>
          <w:sz w:val="24"/>
          <w:szCs w:val="24"/>
        </w:rPr>
        <w:t>$150 per year</w:t>
      </w:r>
      <w:r w:rsidRPr="0010269F">
        <w:rPr>
          <w:rFonts w:ascii="Cambria" w:hAnsi="Cambria"/>
          <w:sz w:val="24"/>
          <w:szCs w:val="24"/>
        </w:rPr>
        <w:t>.</w:t>
      </w:r>
    </w:p>
    <w:p w:rsidR="00EE6328" w:rsidRPr="00296B81" w:rsidRDefault="00786216" w:rsidP="00B2648C">
      <w:pPr>
        <w:pStyle w:val="ListParagraph"/>
        <w:numPr>
          <w:ilvl w:val="0"/>
          <w:numId w:val="6"/>
        </w:numPr>
        <w:spacing w:before="120"/>
        <w:contextualSpacing w:val="0"/>
        <w:rPr>
          <w:rFonts w:ascii="Cambria" w:hAnsi="Cambria"/>
          <w:b/>
          <w:sz w:val="28"/>
          <w:szCs w:val="24"/>
        </w:rPr>
      </w:pPr>
      <w:r w:rsidRPr="00296B81">
        <w:rPr>
          <w:rFonts w:ascii="Cambria" w:hAnsi="Cambria"/>
          <w:sz w:val="24"/>
          <w:szCs w:val="24"/>
        </w:rPr>
        <w:t>Life Insurance and Accidental Death and Dismemberment benefit</w:t>
      </w:r>
      <w:r w:rsidR="00296B81" w:rsidRPr="00296B81">
        <w:rPr>
          <w:rFonts w:ascii="Cambria" w:hAnsi="Cambria"/>
          <w:sz w:val="24"/>
          <w:szCs w:val="24"/>
        </w:rPr>
        <w:t>s</w:t>
      </w:r>
      <w:r w:rsidRPr="00296B81">
        <w:rPr>
          <w:rFonts w:ascii="Cambria" w:hAnsi="Cambria"/>
          <w:sz w:val="24"/>
          <w:szCs w:val="24"/>
        </w:rPr>
        <w:t xml:space="preserve"> increased from $43,000 to </w:t>
      </w:r>
      <w:r w:rsidRPr="00296B81">
        <w:rPr>
          <w:rFonts w:ascii="Cambria" w:hAnsi="Cambria"/>
          <w:b/>
          <w:sz w:val="24"/>
          <w:szCs w:val="24"/>
        </w:rPr>
        <w:t>$50,000</w:t>
      </w:r>
      <w:r w:rsidRPr="00296B81">
        <w:rPr>
          <w:rFonts w:ascii="Cambria" w:hAnsi="Cambria"/>
          <w:sz w:val="24"/>
          <w:szCs w:val="24"/>
        </w:rPr>
        <w:t xml:space="preserve"> each.</w:t>
      </w:r>
      <w:r w:rsidR="00EE6328" w:rsidRPr="00296B81">
        <w:rPr>
          <w:rFonts w:ascii="Cambria" w:hAnsi="Cambria"/>
          <w:b/>
          <w:sz w:val="28"/>
          <w:szCs w:val="24"/>
        </w:rPr>
        <w:br w:type="page"/>
      </w:r>
    </w:p>
    <w:p w:rsidR="00335367" w:rsidRDefault="00335367" w:rsidP="0010269F">
      <w:pPr>
        <w:rPr>
          <w:rFonts w:ascii="Cambria" w:hAnsi="Cambria"/>
          <w:sz w:val="24"/>
          <w:szCs w:val="24"/>
        </w:rPr>
        <w:sectPr w:rsidR="00335367" w:rsidSect="00BF727C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10269F" w:rsidRDefault="0010269F" w:rsidP="0010269F">
      <w:pPr>
        <w:rPr>
          <w:rFonts w:ascii="Cambria" w:hAnsi="Cambria"/>
          <w:sz w:val="24"/>
          <w:szCs w:val="24"/>
        </w:rPr>
      </w:pPr>
    </w:p>
    <w:p w:rsidR="00317D8B" w:rsidRDefault="00317D8B" w:rsidP="0010269F">
      <w:pPr>
        <w:rPr>
          <w:rFonts w:ascii="Cambria" w:hAnsi="Cambria"/>
          <w:sz w:val="24"/>
          <w:szCs w:val="24"/>
        </w:rPr>
      </w:pPr>
    </w:p>
    <w:p w:rsidR="00317D8B" w:rsidRDefault="00317D8B" w:rsidP="0010269F">
      <w:pPr>
        <w:rPr>
          <w:rFonts w:ascii="Cambria" w:hAnsi="Cambria"/>
          <w:sz w:val="24"/>
          <w:szCs w:val="24"/>
        </w:rPr>
      </w:pPr>
    </w:p>
    <w:p w:rsidR="00317D8B" w:rsidRPr="00317D8B" w:rsidRDefault="00317D8B" w:rsidP="00317D8B">
      <w:pPr>
        <w:jc w:val="center"/>
        <w:rPr>
          <w:rFonts w:ascii="Cambria" w:hAnsi="Cambria"/>
          <w:b/>
          <w:sz w:val="32"/>
          <w:szCs w:val="24"/>
        </w:rPr>
      </w:pPr>
      <w:r w:rsidRPr="00317D8B">
        <w:rPr>
          <w:rFonts w:ascii="Cambria" w:hAnsi="Cambria"/>
          <w:b/>
          <w:sz w:val="32"/>
          <w:szCs w:val="24"/>
        </w:rPr>
        <w:t>New Minimum and Maximum Pay Charts</w:t>
      </w:r>
    </w:p>
    <w:p w:rsidR="00317D8B" w:rsidRDefault="00317D8B" w:rsidP="0010269F">
      <w:pPr>
        <w:rPr>
          <w:rFonts w:ascii="Cambria" w:hAnsi="Cambria"/>
          <w:sz w:val="24"/>
          <w:szCs w:val="24"/>
        </w:rPr>
      </w:pPr>
    </w:p>
    <w:p w:rsidR="00335367" w:rsidRDefault="00335367" w:rsidP="0010269F">
      <w:pPr>
        <w:rPr>
          <w:rFonts w:ascii="Cambria" w:hAnsi="Cambria"/>
          <w:sz w:val="24"/>
          <w:szCs w:val="24"/>
        </w:rPr>
      </w:pPr>
    </w:p>
    <w:tbl>
      <w:tblPr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882"/>
        <w:gridCol w:w="1300"/>
        <w:gridCol w:w="1301"/>
        <w:gridCol w:w="1300"/>
        <w:gridCol w:w="1301"/>
        <w:gridCol w:w="1300"/>
        <w:gridCol w:w="1301"/>
        <w:gridCol w:w="1300"/>
        <w:gridCol w:w="1301"/>
        <w:gridCol w:w="1300"/>
        <w:gridCol w:w="1301"/>
      </w:tblGrid>
      <w:tr w:rsidR="00317D8B" w:rsidRPr="00335367" w:rsidTr="00317D8B">
        <w:trPr>
          <w:trHeight w:val="290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D8B" w:rsidRPr="00335367" w:rsidRDefault="00317D8B" w:rsidP="00317D8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  <w:p w:rsidR="00317D8B" w:rsidRDefault="00317D8B" w:rsidP="00317D8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  <w:p w:rsidR="00317D8B" w:rsidRPr="00335367" w:rsidRDefault="00317D8B" w:rsidP="00317D8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317D8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Curren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t</w:t>
            </w:r>
          </w:p>
          <w:p w:rsidR="00317D8B" w:rsidRPr="00335367" w:rsidRDefault="00317D8B" w:rsidP="000213D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October 7, 2023*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September 14, 2024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September 13, 2025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September 12, 2026</w:t>
            </w:r>
          </w:p>
        </w:tc>
      </w:tr>
      <w:tr w:rsidR="00317D8B" w:rsidRPr="00335367" w:rsidTr="00317D8B">
        <w:trPr>
          <w:trHeight w:val="290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$1.00 equity + 4%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4%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3%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3%</w:t>
            </w:r>
          </w:p>
        </w:tc>
      </w:tr>
      <w:tr w:rsidR="00317D8B" w:rsidRPr="00335367" w:rsidTr="00317D8B">
        <w:trPr>
          <w:trHeight w:val="290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8B" w:rsidRPr="00335367" w:rsidRDefault="00317D8B" w:rsidP="000213D5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Maximum</w:t>
            </w:r>
          </w:p>
        </w:tc>
      </w:tr>
      <w:tr w:rsidR="00335367" w:rsidRPr="00335367" w:rsidTr="00317D8B">
        <w:trPr>
          <w:trHeight w:val="29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$12.83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$19.51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$16.00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$21.33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$16.00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$22.18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$16.00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$22.85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$16.00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$23.54 </w:t>
            </w:r>
          </w:p>
        </w:tc>
      </w:tr>
      <w:tr w:rsidR="00335367" w:rsidRPr="00335367" w:rsidTr="00317D8B">
        <w:trPr>
          <w:trHeight w:val="29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$13.76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$20.50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$16.00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$22.36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$16.00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$23.25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$16.44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$23.95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$16.93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$24.67 </w:t>
            </w:r>
          </w:p>
        </w:tc>
      </w:tr>
      <w:tr w:rsidR="00335367" w:rsidRPr="00335367" w:rsidTr="00317D8B">
        <w:trPr>
          <w:trHeight w:val="29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$15.85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$22.88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$17.52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$24.84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$18.22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$25.83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$18.77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$26.60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$19.33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$27.40 </w:t>
            </w:r>
          </w:p>
        </w:tc>
      </w:tr>
      <w:tr w:rsidR="00335367" w:rsidRPr="00335367" w:rsidTr="00317D8B">
        <w:trPr>
          <w:trHeight w:val="29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$18.77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$26.37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$20.56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$28.46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$21.38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$29.60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$22.02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$30.49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$22.68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$31.40 </w:t>
            </w:r>
          </w:p>
        </w:tc>
      </w:tr>
      <w:tr w:rsidR="00335367" w:rsidRPr="00335367" w:rsidTr="00317D8B">
        <w:trPr>
          <w:trHeight w:val="29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$19.72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$27.85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$21.55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$30.00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$22.41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$31.20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$23.08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$32.14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$23.77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$33.10 </w:t>
            </w:r>
          </w:p>
        </w:tc>
      </w:tr>
      <w:tr w:rsidR="00335367" w:rsidRPr="00335367" w:rsidTr="00317D8B">
        <w:trPr>
          <w:trHeight w:val="29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$20.85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$28.88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$22.72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$31.08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$23.63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$32.32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$24.34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$33.29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$25.07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$34.29 </w:t>
            </w:r>
          </w:p>
        </w:tc>
      </w:tr>
      <w:tr w:rsidR="00335367" w:rsidRPr="00335367" w:rsidTr="00317D8B">
        <w:trPr>
          <w:trHeight w:val="29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$21.66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$30.03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$23.57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$32.27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$24.51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$33.56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$25.25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$34.57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$26.01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67" w:rsidRPr="00335367" w:rsidRDefault="00335367" w:rsidP="000213D5">
            <w:pPr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53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$35.61 </w:t>
            </w:r>
          </w:p>
        </w:tc>
      </w:tr>
    </w:tbl>
    <w:p w:rsidR="00335367" w:rsidRDefault="00335367" w:rsidP="0010269F">
      <w:pPr>
        <w:rPr>
          <w:rFonts w:ascii="Cambria" w:hAnsi="Cambria"/>
          <w:sz w:val="24"/>
          <w:szCs w:val="24"/>
        </w:rPr>
      </w:pPr>
    </w:p>
    <w:p w:rsidR="00335367" w:rsidRPr="00335367" w:rsidRDefault="00335367" w:rsidP="0010269F">
      <w:pPr>
        <w:rPr>
          <w:rFonts w:ascii="Cambria" w:hAnsi="Cambria"/>
          <w:sz w:val="32"/>
          <w:szCs w:val="24"/>
        </w:rPr>
      </w:pPr>
      <w:r w:rsidRPr="00335367">
        <w:rPr>
          <w:rFonts w:ascii="Cambria" w:hAnsi="Cambria"/>
          <w:sz w:val="24"/>
          <w:szCs w:val="24"/>
        </w:rPr>
        <w:t>* A $275 lump sum payment will be paid by the end of October in order to make employees whole, for lack of receiving the first GWI until October</w:t>
      </w:r>
      <w:r>
        <w:rPr>
          <w:rFonts w:ascii="Cambria" w:hAnsi="Cambria"/>
          <w:sz w:val="24"/>
          <w:szCs w:val="24"/>
        </w:rPr>
        <w:t>.</w:t>
      </w:r>
    </w:p>
    <w:sectPr w:rsidR="00335367" w:rsidRPr="00335367" w:rsidSect="00335367"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3C" w:rsidRDefault="00835F3C" w:rsidP="00786216">
      <w:r>
        <w:separator/>
      </w:r>
    </w:p>
  </w:endnote>
  <w:endnote w:type="continuationSeparator" w:id="0">
    <w:p w:rsidR="00835F3C" w:rsidRDefault="00835F3C" w:rsidP="0078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3C" w:rsidRDefault="00835F3C" w:rsidP="00786216">
      <w:r>
        <w:separator/>
      </w:r>
    </w:p>
  </w:footnote>
  <w:footnote w:type="continuationSeparator" w:id="0">
    <w:p w:rsidR="00835F3C" w:rsidRDefault="00835F3C" w:rsidP="0078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5B6"/>
    <w:multiLevelType w:val="hybridMultilevel"/>
    <w:tmpl w:val="F384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5417"/>
    <w:multiLevelType w:val="hybridMultilevel"/>
    <w:tmpl w:val="9472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1518C"/>
    <w:multiLevelType w:val="hybridMultilevel"/>
    <w:tmpl w:val="82C8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6E4D"/>
    <w:multiLevelType w:val="hybridMultilevel"/>
    <w:tmpl w:val="99E0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72756"/>
    <w:multiLevelType w:val="hybridMultilevel"/>
    <w:tmpl w:val="F3E0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83BE3"/>
    <w:multiLevelType w:val="hybridMultilevel"/>
    <w:tmpl w:val="8CE0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8381B"/>
    <w:multiLevelType w:val="hybridMultilevel"/>
    <w:tmpl w:val="2602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E67"/>
    <w:multiLevelType w:val="hybridMultilevel"/>
    <w:tmpl w:val="FD30B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C0ABE"/>
    <w:multiLevelType w:val="hybridMultilevel"/>
    <w:tmpl w:val="9A30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3A"/>
    <w:rsid w:val="0000063A"/>
    <w:rsid w:val="00013890"/>
    <w:rsid w:val="00021900"/>
    <w:rsid w:val="00023217"/>
    <w:rsid w:val="00035204"/>
    <w:rsid w:val="000363BE"/>
    <w:rsid w:val="0005415B"/>
    <w:rsid w:val="00063FF2"/>
    <w:rsid w:val="00082231"/>
    <w:rsid w:val="000855C5"/>
    <w:rsid w:val="0010269F"/>
    <w:rsid w:val="001631A6"/>
    <w:rsid w:val="00166635"/>
    <w:rsid w:val="001C215E"/>
    <w:rsid w:val="001F215E"/>
    <w:rsid w:val="0025287D"/>
    <w:rsid w:val="00286A40"/>
    <w:rsid w:val="002902FF"/>
    <w:rsid w:val="0029216E"/>
    <w:rsid w:val="00295F7D"/>
    <w:rsid w:val="00296B81"/>
    <w:rsid w:val="00317D8B"/>
    <w:rsid w:val="0032436C"/>
    <w:rsid w:val="00335367"/>
    <w:rsid w:val="00351280"/>
    <w:rsid w:val="0036655A"/>
    <w:rsid w:val="0037012D"/>
    <w:rsid w:val="00371E80"/>
    <w:rsid w:val="003B4051"/>
    <w:rsid w:val="003E0527"/>
    <w:rsid w:val="003E058A"/>
    <w:rsid w:val="003F2AD0"/>
    <w:rsid w:val="004058C8"/>
    <w:rsid w:val="004918E2"/>
    <w:rsid w:val="00536C5D"/>
    <w:rsid w:val="00537DA1"/>
    <w:rsid w:val="00547A40"/>
    <w:rsid w:val="00552408"/>
    <w:rsid w:val="00562C23"/>
    <w:rsid w:val="005A3877"/>
    <w:rsid w:val="005B04B6"/>
    <w:rsid w:val="005E31E8"/>
    <w:rsid w:val="005E489B"/>
    <w:rsid w:val="00607F55"/>
    <w:rsid w:val="00616791"/>
    <w:rsid w:val="00633305"/>
    <w:rsid w:val="006941B0"/>
    <w:rsid w:val="006F1951"/>
    <w:rsid w:val="007041A5"/>
    <w:rsid w:val="007237C7"/>
    <w:rsid w:val="00733387"/>
    <w:rsid w:val="00786216"/>
    <w:rsid w:val="007A5D63"/>
    <w:rsid w:val="007A7FA9"/>
    <w:rsid w:val="007C192B"/>
    <w:rsid w:val="00812784"/>
    <w:rsid w:val="00835F3C"/>
    <w:rsid w:val="008666D4"/>
    <w:rsid w:val="008C122D"/>
    <w:rsid w:val="00912965"/>
    <w:rsid w:val="009D0697"/>
    <w:rsid w:val="00A614AC"/>
    <w:rsid w:val="00A710E1"/>
    <w:rsid w:val="00A819A8"/>
    <w:rsid w:val="00A96BF3"/>
    <w:rsid w:val="00AA05BB"/>
    <w:rsid w:val="00AC0038"/>
    <w:rsid w:val="00AF590B"/>
    <w:rsid w:val="00B0141D"/>
    <w:rsid w:val="00B01D49"/>
    <w:rsid w:val="00B15ED4"/>
    <w:rsid w:val="00B2648C"/>
    <w:rsid w:val="00B61691"/>
    <w:rsid w:val="00BA5788"/>
    <w:rsid w:val="00BD17DB"/>
    <w:rsid w:val="00BF727C"/>
    <w:rsid w:val="00C27887"/>
    <w:rsid w:val="00C40FEF"/>
    <w:rsid w:val="00C74CB9"/>
    <w:rsid w:val="00CF3C10"/>
    <w:rsid w:val="00D869C2"/>
    <w:rsid w:val="00DE5451"/>
    <w:rsid w:val="00E30838"/>
    <w:rsid w:val="00E55D46"/>
    <w:rsid w:val="00E56FE6"/>
    <w:rsid w:val="00E83D47"/>
    <w:rsid w:val="00E92639"/>
    <w:rsid w:val="00EA4D23"/>
    <w:rsid w:val="00ED50F3"/>
    <w:rsid w:val="00EE6328"/>
    <w:rsid w:val="00F3154E"/>
    <w:rsid w:val="00F41E3A"/>
    <w:rsid w:val="00F774AB"/>
    <w:rsid w:val="00FB789C"/>
    <w:rsid w:val="00FC69CD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470C"/>
  <w15:chartTrackingRefBased/>
  <w15:docId w15:val="{FEDD47CA-50BE-4F67-BCDF-5F2AFAE6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yougot this"/>
    <w:basedOn w:val="Normal"/>
    <w:link w:val="ListParagraphChar"/>
    <w:uiPriority w:val="34"/>
    <w:qFormat/>
    <w:rsid w:val="00536C5D"/>
    <w:pPr>
      <w:ind w:left="720"/>
      <w:contextualSpacing/>
    </w:pPr>
  </w:style>
  <w:style w:type="table" w:styleId="TableGrid">
    <w:name w:val="Table Grid"/>
    <w:basedOn w:val="TableNormal"/>
    <w:uiPriority w:val="39"/>
    <w:rsid w:val="001C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yougot this Char"/>
    <w:basedOn w:val="DefaultParagraphFont"/>
    <w:link w:val="ListParagraph"/>
    <w:uiPriority w:val="34"/>
    <w:locked/>
    <w:rsid w:val="00FB789C"/>
  </w:style>
  <w:style w:type="paragraph" w:styleId="Header">
    <w:name w:val="header"/>
    <w:basedOn w:val="Normal"/>
    <w:link w:val="HeaderChar"/>
    <w:uiPriority w:val="99"/>
    <w:unhideWhenUsed/>
    <w:rsid w:val="0078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16"/>
  </w:style>
  <w:style w:type="paragraph" w:styleId="Footer">
    <w:name w:val="footer"/>
    <w:basedOn w:val="Normal"/>
    <w:link w:val="FooterChar"/>
    <w:uiPriority w:val="99"/>
    <w:unhideWhenUsed/>
    <w:rsid w:val="0078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Boivie Ilana</dc:creator>
  <cp:keywords/>
  <dc:description/>
  <cp:lastModifiedBy>Boivie Ilana</cp:lastModifiedBy>
  <cp:revision>56</cp:revision>
  <cp:lastPrinted>2023-09-15T15:37:00Z</cp:lastPrinted>
  <dcterms:created xsi:type="dcterms:W3CDTF">2023-09-14T17:42:00Z</dcterms:created>
  <dcterms:modified xsi:type="dcterms:W3CDTF">2023-09-15T15:39:00Z</dcterms:modified>
</cp:coreProperties>
</file>